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3429F" w14:textId="77777777" w:rsidR="009701F2" w:rsidRDefault="00B87AA1">
      <w:pPr>
        <w:ind w:left="-720"/>
        <w:rPr>
          <w:rFonts w:ascii="Times New Roman" w:eastAsia="Times New Roman" w:hAnsi="Times New Roman" w:cs="Times New Roman"/>
          <w:i/>
        </w:rPr>
      </w:pPr>
      <w:r>
        <w:rPr>
          <w:rFonts w:ascii="Times New Roman" w:eastAsia="Times New Roman" w:hAnsi="Times New Roman" w:cs="Times New Roman"/>
          <w:i/>
          <w:noProof/>
          <w:lang w:val="en-US"/>
        </w:rPr>
        <w:drawing>
          <wp:anchor distT="114300" distB="114300" distL="114300" distR="114300" simplePos="0" relativeHeight="251658240" behindDoc="0" locked="0" layoutInCell="1" hidden="0" allowOverlap="1" wp14:anchorId="2F9FF74D" wp14:editId="3F8AE6B4">
            <wp:simplePos x="0" y="0"/>
            <wp:positionH relativeFrom="page">
              <wp:posOffset>6614</wp:posOffset>
            </wp:positionH>
            <wp:positionV relativeFrom="page">
              <wp:posOffset>4445</wp:posOffset>
            </wp:positionV>
            <wp:extent cx="7818120" cy="1819656"/>
            <wp:effectExtent l="0" t="0" r="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818120" cy="1819656"/>
                    </a:xfrm>
                    <a:prstGeom prst="rect">
                      <a:avLst/>
                    </a:prstGeom>
                    <a:ln/>
                  </pic:spPr>
                </pic:pic>
              </a:graphicData>
            </a:graphic>
            <wp14:sizeRelH relativeFrom="margin">
              <wp14:pctWidth>0</wp14:pctWidth>
            </wp14:sizeRelH>
            <wp14:sizeRelV relativeFrom="margin">
              <wp14:pctHeight>0</wp14:pctHeight>
            </wp14:sizeRelV>
          </wp:anchor>
        </w:drawing>
      </w:r>
    </w:p>
    <w:p w14:paraId="156FC87F" w14:textId="77777777" w:rsidR="009701F2" w:rsidRDefault="009701F2">
      <w:pPr>
        <w:ind w:left="-720"/>
        <w:rPr>
          <w:rFonts w:ascii="Times New Roman" w:eastAsia="Times New Roman" w:hAnsi="Times New Roman" w:cs="Times New Roman"/>
          <w:i/>
        </w:rPr>
      </w:pPr>
    </w:p>
    <w:p w14:paraId="7C6B77FD" w14:textId="77777777" w:rsidR="009701F2" w:rsidRDefault="009701F2">
      <w:pPr>
        <w:ind w:left="-720"/>
        <w:rPr>
          <w:rFonts w:ascii="Times New Roman" w:eastAsia="Times New Roman" w:hAnsi="Times New Roman" w:cs="Times New Roman"/>
          <w:i/>
        </w:rPr>
      </w:pPr>
    </w:p>
    <w:p w14:paraId="41E72C88" w14:textId="77777777" w:rsidR="009701F2" w:rsidRDefault="009701F2">
      <w:pPr>
        <w:ind w:left="-720"/>
        <w:rPr>
          <w:rFonts w:ascii="Times New Roman" w:eastAsia="Times New Roman" w:hAnsi="Times New Roman" w:cs="Times New Roman"/>
          <w:i/>
        </w:rPr>
      </w:pPr>
    </w:p>
    <w:p w14:paraId="5CA42E8D" w14:textId="77777777" w:rsidR="009701F2" w:rsidRDefault="009701F2">
      <w:pPr>
        <w:ind w:left="-720"/>
        <w:rPr>
          <w:rFonts w:ascii="Times New Roman" w:eastAsia="Times New Roman" w:hAnsi="Times New Roman" w:cs="Times New Roman"/>
          <w:i/>
        </w:rPr>
      </w:pPr>
    </w:p>
    <w:p w14:paraId="219ACC90" w14:textId="77777777" w:rsidR="009701F2" w:rsidRDefault="009701F2">
      <w:pPr>
        <w:ind w:left="-720"/>
        <w:rPr>
          <w:rFonts w:ascii="Times New Roman" w:eastAsia="Times New Roman" w:hAnsi="Times New Roman" w:cs="Times New Roman"/>
          <w:i/>
        </w:rPr>
      </w:pPr>
    </w:p>
    <w:p w14:paraId="4AA67505" w14:textId="77777777" w:rsidR="009701F2" w:rsidRDefault="009701F2">
      <w:pPr>
        <w:ind w:left="-720"/>
        <w:rPr>
          <w:rFonts w:ascii="Times New Roman" w:eastAsia="Times New Roman" w:hAnsi="Times New Roman" w:cs="Times New Roman"/>
          <w:i/>
        </w:rPr>
      </w:pPr>
    </w:p>
    <w:p w14:paraId="6EE4304F" w14:textId="77777777" w:rsidR="009701F2" w:rsidRDefault="009701F2">
      <w:pPr>
        <w:ind w:left="-720"/>
        <w:rPr>
          <w:rFonts w:ascii="Times New Roman" w:eastAsia="Times New Roman" w:hAnsi="Times New Roman" w:cs="Times New Roman"/>
          <w:i/>
        </w:rPr>
      </w:pPr>
    </w:p>
    <w:p w14:paraId="47166B5A" w14:textId="77777777" w:rsidR="00B87AA1" w:rsidRDefault="00B87AA1">
      <w:pPr>
        <w:rPr>
          <w:rFonts w:ascii="Times New Roman" w:eastAsia="Times New Roman" w:hAnsi="Times New Roman" w:cs="Times New Roman"/>
          <w:i/>
        </w:rPr>
      </w:pPr>
    </w:p>
    <w:p w14:paraId="42213589" w14:textId="53B6808C" w:rsidR="00B87AA1" w:rsidRDefault="00B87AA1" w:rsidP="00B87AA1">
      <w:pPr>
        <w:spacing w:line="240" w:lineRule="auto"/>
        <w:jc w:val="center"/>
        <w:rPr>
          <w:b/>
          <w:sz w:val="28"/>
          <w:szCs w:val="28"/>
        </w:rPr>
      </w:pPr>
      <w:r>
        <w:rPr>
          <w:b/>
          <w:sz w:val="40"/>
          <w:szCs w:val="40"/>
        </w:rPr>
        <w:t xml:space="preserve">FY 2022 / FY 2023 Agency Request for American Rescue Act Plan </w:t>
      </w:r>
      <w:r w:rsidR="00C9397A">
        <w:rPr>
          <w:b/>
          <w:sz w:val="40"/>
          <w:szCs w:val="40"/>
        </w:rPr>
        <w:t>Funding</w:t>
      </w:r>
    </w:p>
    <w:p w14:paraId="0F0F9A72" w14:textId="77777777" w:rsidR="009701F2" w:rsidRDefault="009701F2">
      <w:pPr>
        <w:rPr>
          <w:rFonts w:ascii="Times New Roman" w:eastAsia="Times New Roman" w:hAnsi="Times New Roman" w:cs="Times New Roman"/>
        </w:rPr>
      </w:pPr>
    </w:p>
    <w:p w14:paraId="64A4BA70" w14:textId="77777777" w:rsidR="00E03662" w:rsidRDefault="00245B2E">
      <w:pPr>
        <w:rPr>
          <w:rFonts w:ascii="Times New Roman" w:eastAsia="Times New Roman" w:hAnsi="Times New Roman" w:cs="Times New Roman"/>
        </w:rPr>
      </w:pPr>
      <w:r>
        <w:rPr>
          <w:rFonts w:ascii="Times New Roman" w:eastAsia="Times New Roman" w:hAnsi="Times New Roman" w:cs="Times New Roman"/>
        </w:rPr>
        <w:t>The state of Utah will receive nearly $1.4 billion from the American Rescue Plan Act (ARPA) Coronavirus State Fiscal Relief Fund</w:t>
      </w:r>
      <w:r w:rsidR="00E03662">
        <w:rPr>
          <w:rFonts w:ascii="Times New Roman" w:eastAsia="Times New Roman" w:hAnsi="Times New Roman" w:cs="Times New Roman"/>
        </w:rPr>
        <w:t xml:space="preserve"> and approximately $136 million from the Coronavirus Capital Projects Fund</w:t>
      </w:r>
      <w:r>
        <w:rPr>
          <w:rFonts w:ascii="Times New Roman" w:eastAsia="Times New Roman" w:hAnsi="Times New Roman" w:cs="Times New Roman"/>
        </w:rPr>
        <w:t>.</w:t>
      </w:r>
      <w:r w:rsidR="00B87AA1">
        <w:rPr>
          <w:rFonts w:ascii="Times New Roman" w:eastAsia="Times New Roman" w:hAnsi="Times New Roman" w:cs="Times New Roman"/>
        </w:rPr>
        <w:t xml:space="preserve"> While the Utah State Legislature appropriated roughly $570 million of first-tranche ARPA funding during the 2021 First Special Session, a significant share of Utah’s ARPA resources </w:t>
      </w:r>
      <w:r w:rsidR="00E03662">
        <w:rPr>
          <w:rFonts w:ascii="Times New Roman" w:eastAsia="Times New Roman" w:hAnsi="Times New Roman" w:cs="Times New Roman"/>
        </w:rPr>
        <w:t>will be prioritized in the Governor’s FY 2022/FY 2023 Budget Recommendation Book. Agencies requesting ARPA appropriations</w:t>
      </w:r>
      <w:r w:rsidR="00EF20D7">
        <w:rPr>
          <w:rFonts w:ascii="Times New Roman" w:eastAsia="Times New Roman" w:hAnsi="Times New Roman" w:cs="Times New Roman"/>
        </w:rPr>
        <w:t xml:space="preserve"> should</w:t>
      </w:r>
      <w:r w:rsidR="00E03662">
        <w:rPr>
          <w:rFonts w:ascii="Times New Roman" w:eastAsia="Times New Roman" w:hAnsi="Times New Roman" w:cs="Times New Roman"/>
        </w:rPr>
        <w:t xml:space="preserve"> populate and upload this form to the Governor’s </w:t>
      </w:r>
      <w:r w:rsidR="00EF20D7">
        <w:rPr>
          <w:rFonts w:ascii="Times New Roman" w:eastAsia="Times New Roman" w:hAnsi="Times New Roman" w:cs="Times New Roman"/>
        </w:rPr>
        <w:t>Budget Recommendations website prior to September 24.</w:t>
      </w:r>
      <w:r w:rsidR="00CB5633">
        <w:rPr>
          <w:rFonts w:ascii="Times New Roman" w:eastAsia="Times New Roman" w:hAnsi="Times New Roman" w:cs="Times New Roman"/>
        </w:rPr>
        <w:t xml:space="preserve"> Note that these stimulus funds are one-time, and as such, </w:t>
      </w:r>
      <w:r w:rsidR="00CB5633" w:rsidRPr="00CB5633">
        <w:rPr>
          <w:rFonts w:ascii="Times New Roman" w:eastAsia="Times New Roman" w:hAnsi="Times New Roman" w:cs="Times New Roman"/>
        </w:rPr>
        <w:t>all requests must be for one-time uses that do not result in a structural imbalance of ongoing expenditures against one-time resources</w:t>
      </w:r>
      <w:r w:rsidR="00CB5633">
        <w:rPr>
          <w:rFonts w:ascii="Times New Roman" w:eastAsia="Times New Roman" w:hAnsi="Times New Roman" w:cs="Times New Roman"/>
        </w:rPr>
        <w:t>.</w:t>
      </w:r>
    </w:p>
    <w:p w14:paraId="1E914F47" w14:textId="77777777" w:rsidR="00CB5633" w:rsidRDefault="00CB5633">
      <w:pPr>
        <w:rPr>
          <w:rFonts w:ascii="Times New Roman" w:eastAsia="Times New Roman" w:hAnsi="Times New Roman" w:cs="Times New Roman"/>
        </w:rPr>
      </w:pPr>
    </w:p>
    <w:p w14:paraId="479B228C" w14:textId="1B6E6782" w:rsidR="00CB5633" w:rsidRPr="004139E7" w:rsidRDefault="00CB5633" w:rsidP="00CB5633">
      <w:pPr>
        <w:rPr>
          <w:rFonts w:ascii="Times New Roman" w:eastAsia="Times New Roman" w:hAnsi="Times New Roman" w:cs="Times New Roman"/>
          <w:b/>
          <w:u w:val="single"/>
        </w:rPr>
      </w:pPr>
      <w:r w:rsidRPr="004139E7">
        <w:rPr>
          <w:rFonts w:ascii="Times New Roman" w:eastAsia="Times New Roman" w:hAnsi="Times New Roman" w:cs="Times New Roman"/>
          <w:b/>
          <w:u w:val="single"/>
        </w:rPr>
        <w:t>VISION</w:t>
      </w:r>
      <w:r w:rsidR="00C9397A">
        <w:rPr>
          <w:rFonts w:ascii="Times New Roman" w:eastAsia="Times New Roman" w:hAnsi="Times New Roman" w:cs="Times New Roman"/>
          <w:b/>
          <w:u w:val="single"/>
        </w:rPr>
        <w:t>:</w:t>
      </w:r>
    </w:p>
    <w:p w14:paraId="3BAED8A5" w14:textId="4FCEADA0" w:rsidR="00CB5633" w:rsidRDefault="00CB5633" w:rsidP="00CB5633">
      <w:pPr>
        <w:rPr>
          <w:rFonts w:ascii="Times New Roman" w:eastAsia="Times New Roman" w:hAnsi="Times New Roman" w:cs="Times New Roman"/>
        </w:rPr>
      </w:pPr>
      <w:r w:rsidRPr="00CB5633">
        <w:rPr>
          <w:rFonts w:ascii="Times New Roman" w:eastAsia="Times New Roman" w:hAnsi="Times New Roman" w:cs="Times New Roman"/>
        </w:rPr>
        <w:t xml:space="preserve">The vision for these funds is to make multi-generational investments that safeguard and fortify public health, and create the most inclusive, resilient, and prosperous economy in the nation. </w:t>
      </w:r>
      <w:r w:rsidR="00C9397A">
        <w:rPr>
          <w:rFonts w:ascii="Times New Roman" w:eastAsia="Times New Roman" w:hAnsi="Times New Roman" w:cs="Times New Roman"/>
        </w:rPr>
        <w:t>Agencies should</w:t>
      </w:r>
      <w:r w:rsidRPr="00CB5633">
        <w:rPr>
          <w:rFonts w:ascii="Times New Roman" w:eastAsia="Times New Roman" w:hAnsi="Times New Roman" w:cs="Times New Roman"/>
        </w:rPr>
        <w:t xml:space="preserve"> follow these guiding principles for prioritizing</w:t>
      </w:r>
      <w:r w:rsidR="00C9397A">
        <w:rPr>
          <w:rFonts w:ascii="Times New Roman" w:eastAsia="Times New Roman" w:hAnsi="Times New Roman" w:cs="Times New Roman"/>
        </w:rPr>
        <w:t xml:space="preserve"> preparing </w:t>
      </w:r>
      <w:r w:rsidRPr="00CB5633">
        <w:rPr>
          <w:rFonts w:ascii="Times New Roman" w:eastAsia="Times New Roman" w:hAnsi="Times New Roman" w:cs="Times New Roman"/>
        </w:rPr>
        <w:t>funding requests:</w:t>
      </w:r>
    </w:p>
    <w:p w14:paraId="1303227C" w14:textId="77777777" w:rsidR="00C9397A" w:rsidRPr="00CB5633" w:rsidRDefault="00C9397A" w:rsidP="00CB5633">
      <w:pPr>
        <w:rPr>
          <w:rFonts w:ascii="Times New Roman" w:eastAsia="Times New Roman" w:hAnsi="Times New Roman" w:cs="Times New Roman"/>
        </w:rPr>
      </w:pPr>
    </w:p>
    <w:p w14:paraId="2D2B216A" w14:textId="7F85666D" w:rsidR="00D808A6" w:rsidRPr="00D808A6" w:rsidRDefault="00D808A6" w:rsidP="00D808A6">
      <w:pPr>
        <w:pStyle w:val="ListParagraph"/>
        <w:numPr>
          <w:ilvl w:val="0"/>
          <w:numId w:val="7"/>
        </w:numPr>
        <w:rPr>
          <w:rFonts w:ascii="Times New Roman" w:eastAsia="Times New Roman" w:hAnsi="Times New Roman" w:cs="Times New Roman"/>
        </w:rPr>
      </w:pPr>
      <w:r w:rsidRPr="00D808A6">
        <w:rPr>
          <w:rFonts w:ascii="Times New Roman" w:eastAsia="Times New Roman" w:hAnsi="Times New Roman" w:cs="Times New Roman"/>
        </w:rPr>
        <w:t>Meets ARPA eligibility criteria</w:t>
      </w:r>
      <w:r>
        <w:rPr>
          <w:rFonts w:ascii="Times New Roman" w:eastAsia="Times New Roman" w:hAnsi="Times New Roman" w:cs="Times New Roman"/>
        </w:rPr>
        <w:t>.</w:t>
      </w:r>
    </w:p>
    <w:p w14:paraId="6AADA4F7" w14:textId="77777777" w:rsidR="00D808A6" w:rsidRPr="00D808A6" w:rsidRDefault="00D808A6" w:rsidP="00D808A6">
      <w:pPr>
        <w:pStyle w:val="ListParagraph"/>
        <w:numPr>
          <w:ilvl w:val="0"/>
          <w:numId w:val="7"/>
        </w:numPr>
        <w:rPr>
          <w:rFonts w:ascii="Times New Roman" w:eastAsia="Times New Roman" w:hAnsi="Times New Roman" w:cs="Times New Roman"/>
        </w:rPr>
      </w:pPr>
      <w:r w:rsidRPr="00D808A6">
        <w:rPr>
          <w:rFonts w:ascii="Times New Roman" w:eastAsia="Times New Roman" w:hAnsi="Times New Roman" w:cs="Times New Roman"/>
        </w:rPr>
        <w:t>Fiscally prudent – Uphold Utah’s stellar reputation for fiscal responsibility, maximize return on investment, maintain structural balance of ongoing revenues with ongoing spending, invest in the future economy, and avoid inflationary pressure.</w:t>
      </w:r>
    </w:p>
    <w:p w14:paraId="229E802F" w14:textId="77777777" w:rsidR="00D808A6" w:rsidRPr="00D808A6" w:rsidRDefault="00D808A6" w:rsidP="00D808A6">
      <w:pPr>
        <w:pStyle w:val="ListParagraph"/>
        <w:numPr>
          <w:ilvl w:val="0"/>
          <w:numId w:val="7"/>
        </w:numPr>
        <w:rPr>
          <w:rFonts w:ascii="Times New Roman" w:eastAsia="Times New Roman" w:hAnsi="Times New Roman" w:cs="Times New Roman"/>
        </w:rPr>
      </w:pPr>
      <w:r w:rsidRPr="00D808A6">
        <w:rPr>
          <w:rFonts w:ascii="Times New Roman" w:eastAsia="Times New Roman" w:hAnsi="Times New Roman" w:cs="Times New Roman"/>
        </w:rPr>
        <w:t>Enduring – Favor investments that solve an existing problem and provide an enduring benefit, considering the full cost of ownership.</w:t>
      </w:r>
    </w:p>
    <w:p w14:paraId="35A8467E" w14:textId="77777777" w:rsidR="00D808A6" w:rsidRPr="00D808A6" w:rsidRDefault="00D808A6" w:rsidP="00D808A6">
      <w:pPr>
        <w:pStyle w:val="ListParagraph"/>
        <w:numPr>
          <w:ilvl w:val="0"/>
          <w:numId w:val="7"/>
        </w:numPr>
        <w:rPr>
          <w:rFonts w:ascii="Times New Roman" w:eastAsia="Times New Roman" w:hAnsi="Times New Roman" w:cs="Times New Roman"/>
        </w:rPr>
      </w:pPr>
      <w:r w:rsidRPr="00D808A6">
        <w:rPr>
          <w:rFonts w:ascii="Times New Roman" w:eastAsia="Times New Roman" w:hAnsi="Times New Roman" w:cs="Times New Roman"/>
        </w:rPr>
        <w:t>Targeted – Focus on people, industries, and locations that continue to suffer the greatest impact.</w:t>
      </w:r>
    </w:p>
    <w:p w14:paraId="13A52B30" w14:textId="77777777" w:rsidR="00D808A6" w:rsidRPr="00D808A6" w:rsidRDefault="00D808A6" w:rsidP="00D808A6">
      <w:pPr>
        <w:pStyle w:val="ListParagraph"/>
        <w:numPr>
          <w:ilvl w:val="0"/>
          <w:numId w:val="7"/>
        </w:numPr>
        <w:rPr>
          <w:rFonts w:ascii="Times New Roman" w:eastAsia="Times New Roman" w:hAnsi="Times New Roman" w:cs="Times New Roman"/>
        </w:rPr>
      </w:pPr>
      <w:r w:rsidRPr="00D808A6">
        <w:rPr>
          <w:rFonts w:ascii="Times New Roman" w:eastAsia="Times New Roman" w:hAnsi="Times New Roman" w:cs="Times New Roman"/>
        </w:rPr>
        <w:t>Leverages non-state resources by partnering financially with other levels of government.</w:t>
      </w:r>
    </w:p>
    <w:p w14:paraId="16D11A67" w14:textId="1574057F" w:rsidR="00CB5633" w:rsidRDefault="00D808A6" w:rsidP="00D808A6">
      <w:pPr>
        <w:pStyle w:val="ListParagraph"/>
        <w:numPr>
          <w:ilvl w:val="0"/>
          <w:numId w:val="7"/>
        </w:numPr>
        <w:rPr>
          <w:rFonts w:ascii="Times New Roman" w:eastAsia="Times New Roman" w:hAnsi="Times New Roman" w:cs="Times New Roman"/>
        </w:rPr>
      </w:pPr>
      <w:r w:rsidRPr="00D808A6">
        <w:rPr>
          <w:rFonts w:ascii="Times New Roman" w:eastAsia="Times New Roman" w:hAnsi="Times New Roman" w:cs="Times New Roman"/>
        </w:rPr>
        <w:t>Accountable – Measure and account through a publicly available scorecard.</w:t>
      </w:r>
    </w:p>
    <w:p w14:paraId="1F0393F5" w14:textId="77777777" w:rsidR="00D808A6" w:rsidRPr="00D808A6" w:rsidRDefault="00D808A6" w:rsidP="00D808A6">
      <w:pPr>
        <w:pStyle w:val="ListParagraph"/>
        <w:rPr>
          <w:rFonts w:ascii="Times New Roman" w:eastAsia="Times New Roman" w:hAnsi="Times New Roman" w:cs="Times New Roman"/>
        </w:rPr>
      </w:pPr>
    </w:p>
    <w:p w14:paraId="6EEEA620" w14:textId="77777777" w:rsidR="009701F2" w:rsidRDefault="00245B2E">
      <w:pPr>
        <w:rPr>
          <w:rFonts w:ascii="Times New Roman" w:eastAsia="Times New Roman" w:hAnsi="Times New Roman" w:cs="Times New Roman"/>
          <w:u w:val="single"/>
        </w:rPr>
      </w:pPr>
      <w:r>
        <w:rPr>
          <w:rFonts w:ascii="Times New Roman" w:eastAsia="Times New Roman" w:hAnsi="Times New Roman" w:cs="Times New Roman"/>
          <w:b/>
          <w:u w:val="single"/>
        </w:rPr>
        <w:t>ESTABLISHING ELIGIBILITY:</w:t>
      </w:r>
    </w:p>
    <w:p w14:paraId="50781AB5" w14:textId="3BEA8EA1" w:rsidR="009701F2" w:rsidRDefault="00245B2E">
      <w:pPr>
        <w:rPr>
          <w:rFonts w:ascii="Times New Roman" w:eastAsia="Times New Roman" w:hAnsi="Times New Roman" w:cs="Times New Roman"/>
        </w:rPr>
      </w:pPr>
      <w:r>
        <w:rPr>
          <w:rFonts w:ascii="Times New Roman" w:eastAsia="Times New Roman" w:hAnsi="Times New Roman" w:cs="Times New Roman"/>
        </w:rPr>
        <w:t>The state must establish eligibility for each ARPA appropriatio</w:t>
      </w:r>
      <w:r w:rsidR="00CB5633">
        <w:rPr>
          <w:rFonts w:ascii="Times New Roman" w:eastAsia="Times New Roman" w:hAnsi="Times New Roman" w:cs="Times New Roman"/>
        </w:rPr>
        <w:t>n prior to spending ARPA funds.</w:t>
      </w:r>
      <w:r w:rsidR="00C9397A">
        <w:rPr>
          <w:rFonts w:ascii="Times New Roman" w:eastAsia="Times New Roman" w:hAnsi="Times New Roman" w:cs="Times New Roman"/>
        </w:rPr>
        <w:t xml:space="preserve"> </w:t>
      </w:r>
      <w:r>
        <w:rPr>
          <w:rFonts w:ascii="Times New Roman" w:eastAsia="Times New Roman" w:hAnsi="Times New Roman" w:cs="Times New Roman"/>
        </w:rPr>
        <w:t>The Treasury has identified five main eligible uses for ARPA</w:t>
      </w:r>
      <w:r w:rsidR="00CB5633">
        <w:rPr>
          <w:rFonts w:ascii="Times New Roman" w:eastAsia="Times New Roman" w:hAnsi="Times New Roman" w:cs="Times New Roman"/>
        </w:rPr>
        <w:t xml:space="preserve"> State Fiscal Relief F</w:t>
      </w:r>
      <w:r>
        <w:rPr>
          <w:rFonts w:ascii="Times New Roman" w:eastAsia="Times New Roman" w:hAnsi="Times New Roman" w:cs="Times New Roman"/>
        </w:rPr>
        <w:t>unds:</w:t>
      </w:r>
    </w:p>
    <w:p w14:paraId="2AA57F87" w14:textId="77777777" w:rsidR="009701F2" w:rsidRDefault="00245B2E">
      <w:pPr>
        <w:numPr>
          <w:ilvl w:val="0"/>
          <w:numId w:val="1"/>
        </w:numPr>
        <w:rPr>
          <w:rFonts w:ascii="Times New Roman" w:eastAsia="Times New Roman" w:hAnsi="Times New Roman" w:cs="Times New Roman"/>
        </w:rPr>
      </w:pPr>
      <w:r>
        <w:rPr>
          <w:rFonts w:ascii="Times New Roman" w:eastAsia="Times New Roman" w:hAnsi="Times New Roman" w:cs="Times New Roman"/>
        </w:rPr>
        <w:t>Supporting the public health response,</w:t>
      </w:r>
    </w:p>
    <w:p w14:paraId="2A1A157E" w14:textId="77777777" w:rsidR="009701F2" w:rsidRDefault="00245B2E">
      <w:pPr>
        <w:numPr>
          <w:ilvl w:val="0"/>
          <w:numId w:val="1"/>
        </w:numPr>
        <w:rPr>
          <w:rFonts w:ascii="Times New Roman" w:eastAsia="Times New Roman" w:hAnsi="Times New Roman" w:cs="Times New Roman"/>
        </w:rPr>
      </w:pPr>
      <w:r>
        <w:rPr>
          <w:rFonts w:ascii="Times New Roman" w:eastAsia="Times New Roman" w:hAnsi="Times New Roman" w:cs="Times New Roman"/>
        </w:rPr>
        <w:t>Addressing the negative economic impacts caused by the public health emergency,</w:t>
      </w:r>
    </w:p>
    <w:p w14:paraId="45B74622" w14:textId="77777777" w:rsidR="009701F2" w:rsidRDefault="00245B2E">
      <w:pPr>
        <w:numPr>
          <w:ilvl w:val="0"/>
          <w:numId w:val="1"/>
        </w:numPr>
        <w:rPr>
          <w:rFonts w:ascii="Times New Roman" w:eastAsia="Times New Roman" w:hAnsi="Times New Roman" w:cs="Times New Roman"/>
        </w:rPr>
      </w:pPr>
      <w:r>
        <w:rPr>
          <w:rFonts w:ascii="Times New Roman" w:eastAsia="Times New Roman" w:hAnsi="Times New Roman" w:cs="Times New Roman"/>
        </w:rPr>
        <w:t>Providing premium pay for essential workers,</w:t>
      </w:r>
    </w:p>
    <w:p w14:paraId="230A6B82" w14:textId="77777777" w:rsidR="009701F2" w:rsidRDefault="00245B2E">
      <w:pPr>
        <w:numPr>
          <w:ilvl w:val="0"/>
          <w:numId w:val="1"/>
        </w:numPr>
        <w:rPr>
          <w:rFonts w:ascii="Times New Roman" w:eastAsia="Times New Roman" w:hAnsi="Times New Roman" w:cs="Times New Roman"/>
        </w:rPr>
      </w:pPr>
      <w:r>
        <w:rPr>
          <w:rFonts w:ascii="Times New Roman" w:eastAsia="Times New Roman" w:hAnsi="Times New Roman" w:cs="Times New Roman"/>
        </w:rPr>
        <w:t>Investing in water, sewer, and broadband infrastructure, and</w:t>
      </w:r>
    </w:p>
    <w:p w14:paraId="61CB15F1" w14:textId="77777777" w:rsidR="009701F2" w:rsidRDefault="00245B2E">
      <w:pPr>
        <w:numPr>
          <w:ilvl w:val="0"/>
          <w:numId w:val="1"/>
        </w:numPr>
        <w:rPr>
          <w:rFonts w:ascii="Times New Roman" w:eastAsia="Times New Roman" w:hAnsi="Times New Roman" w:cs="Times New Roman"/>
        </w:rPr>
      </w:pPr>
      <w:r>
        <w:rPr>
          <w:rFonts w:ascii="Times New Roman" w:eastAsia="Times New Roman" w:hAnsi="Times New Roman" w:cs="Times New Roman"/>
        </w:rPr>
        <w:t>Replacing lost public sector revenue.</w:t>
      </w:r>
    </w:p>
    <w:p w14:paraId="26EDB32D" w14:textId="77777777" w:rsidR="0022783C" w:rsidRDefault="0022783C">
      <w:pPr>
        <w:rPr>
          <w:rFonts w:ascii="Times New Roman" w:eastAsia="Times New Roman" w:hAnsi="Times New Roman" w:cs="Times New Roman"/>
        </w:rPr>
      </w:pPr>
    </w:p>
    <w:p w14:paraId="18316B5D" w14:textId="46D1D916" w:rsidR="00C9397A" w:rsidRDefault="00C9397A" w:rsidP="00C9397A">
      <w:pPr>
        <w:rPr>
          <w:rFonts w:ascii="Times New Roman" w:eastAsia="Times New Roman" w:hAnsi="Times New Roman" w:cs="Times New Roman"/>
        </w:rPr>
      </w:pPr>
      <w:r>
        <w:rPr>
          <w:rFonts w:ascii="Times New Roman" w:eastAsia="Times New Roman" w:hAnsi="Times New Roman" w:cs="Times New Roman"/>
        </w:rPr>
        <w:t xml:space="preserve">Agencies should take the time to review Treasury resources (linked below) to identify which eligibility category each appropriation falls under, and develop sound reasoning for why the appropriation fits eligibility criteria. Since the state’s </w:t>
      </w:r>
      <w:r>
        <w:rPr>
          <w:rFonts w:ascii="Times New Roman" w:eastAsia="Times New Roman" w:hAnsi="Times New Roman" w:cs="Times New Roman"/>
        </w:rPr>
        <w:lastRenderedPageBreak/>
        <w:t xml:space="preserve">ability to replace lost public sector revenue will be limited, the project should be tied to other specific eligibility criteria whenever possible. </w:t>
      </w:r>
    </w:p>
    <w:p w14:paraId="7B8208FD" w14:textId="77777777" w:rsidR="00A35403" w:rsidRDefault="00A35403" w:rsidP="00C9397A">
      <w:pPr>
        <w:rPr>
          <w:rFonts w:ascii="Times New Roman" w:eastAsia="Times New Roman" w:hAnsi="Times New Roman" w:cs="Times New Roman"/>
        </w:rPr>
      </w:pPr>
      <w:bookmarkStart w:id="0" w:name="_GoBack"/>
      <w:bookmarkEnd w:id="0"/>
    </w:p>
    <w:p w14:paraId="07FF966C" w14:textId="3ECCE5BD" w:rsidR="0022783C" w:rsidRDefault="00C9397A" w:rsidP="0022783C">
      <w:pPr>
        <w:rPr>
          <w:rFonts w:ascii="Times New Roman" w:eastAsia="Times New Roman" w:hAnsi="Times New Roman" w:cs="Times New Roman"/>
        </w:rPr>
      </w:pPr>
      <w:r>
        <w:rPr>
          <w:rFonts w:ascii="Times New Roman" w:eastAsia="Times New Roman" w:hAnsi="Times New Roman" w:cs="Times New Roman"/>
        </w:rPr>
        <w:t xml:space="preserve">While the Treasury has not yet released details on the process for applying for </w:t>
      </w:r>
      <w:r w:rsidR="0022783C">
        <w:rPr>
          <w:rFonts w:ascii="Times New Roman" w:eastAsia="Times New Roman" w:hAnsi="Times New Roman" w:cs="Times New Roman"/>
        </w:rPr>
        <w:t>ARPA Capital Projects Fund</w:t>
      </w:r>
      <w:r>
        <w:rPr>
          <w:rFonts w:ascii="Times New Roman" w:eastAsia="Times New Roman" w:hAnsi="Times New Roman" w:cs="Times New Roman"/>
        </w:rPr>
        <w:t>s, we believe proposals will be accepted by the Treasury Department for</w:t>
      </w:r>
      <w:r w:rsidR="0022783C">
        <w:rPr>
          <w:rFonts w:ascii="Times New Roman" w:eastAsia="Times New Roman" w:hAnsi="Times New Roman" w:cs="Times New Roman"/>
        </w:rPr>
        <w:t xml:space="preserve"> c</w:t>
      </w:r>
      <w:r w:rsidR="0022783C" w:rsidRPr="0022783C">
        <w:rPr>
          <w:rFonts w:ascii="Times New Roman" w:eastAsia="Times New Roman" w:hAnsi="Times New Roman" w:cs="Times New Roman"/>
        </w:rPr>
        <w:t>ritical capital projects directly enabling work, education, and health monitoring, including remote options, in response to the COVID-19 public health emergency.</w:t>
      </w:r>
    </w:p>
    <w:p w14:paraId="55964EAA" w14:textId="77777777" w:rsidR="00C9397A" w:rsidRDefault="00C9397A" w:rsidP="0022783C">
      <w:pPr>
        <w:rPr>
          <w:rFonts w:ascii="Times New Roman" w:eastAsia="Times New Roman" w:hAnsi="Times New Roman" w:cs="Times New Roman"/>
        </w:rPr>
      </w:pPr>
    </w:p>
    <w:p w14:paraId="7B3A1A3C" w14:textId="77777777" w:rsidR="00C9397A" w:rsidRDefault="00C9397A" w:rsidP="00C9397A">
      <w:pPr>
        <w:rPr>
          <w:rFonts w:ascii="Times New Roman" w:eastAsia="Times New Roman" w:hAnsi="Times New Roman" w:cs="Times New Roman"/>
          <w:b/>
          <w:u w:val="single"/>
        </w:rPr>
      </w:pPr>
      <w:r>
        <w:rPr>
          <w:rFonts w:ascii="Times New Roman" w:eastAsia="Times New Roman" w:hAnsi="Times New Roman" w:cs="Times New Roman"/>
          <w:b/>
          <w:u w:val="single"/>
        </w:rPr>
        <w:t>TREASURY RESOURCES:</w:t>
      </w:r>
    </w:p>
    <w:p w14:paraId="7F0D5878" w14:textId="77777777" w:rsidR="00C9397A" w:rsidRDefault="00C9397A" w:rsidP="00C9397A">
      <w:pPr>
        <w:rPr>
          <w:rFonts w:ascii="Times New Roman" w:eastAsia="Times New Roman" w:hAnsi="Times New Roman" w:cs="Times New Roman"/>
        </w:rPr>
      </w:pPr>
      <w:r>
        <w:rPr>
          <w:rFonts w:ascii="Times New Roman" w:eastAsia="Times New Roman" w:hAnsi="Times New Roman" w:cs="Times New Roman"/>
        </w:rPr>
        <w:t xml:space="preserve">For more information on these funds please see the currently available resources from the Treasury’s main page for </w:t>
      </w:r>
      <w:hyperlink r:id="rId6">
        <w:r>
          <w:rPr>
            <w:rFonts w:ascii="Times New Roman" w:eastAsia="Times New Roman" w:hAnsi="Times New Roman" w:cs="Times New Roman"/>
            <w:color w:val="1155CC"/>
            <w:u w:val="single"/>
          </w:rPr>
          <w:t>Coronavirus State and Local Fiscal Recovery Funds</w:t>
        </w:r>
      </w:hyperlink>
      <w:r>
        <w:rPr>
          <w:rFonts w:ascii="Times New Roman" w:eastAsia="Times New Roman" w:hAnsi="Times New Roman" w:cs="Times New Roman"/>
        </w:rPr>
        <w:t>:</w:t>
      </w:r>
    </w:p>
    <w:p w14:paraId="3E07EA5B" w14:textId="77777777" w:rsidR="00C9397A" w:rsidRDefault="00A35403" w:rsidP="00C9397A">
      <w:pPr>
        <w:numPr>
          <w:ilvl w:val="0"/>
          <w:numId w:val="3"/>
        </w:numPr>
        <w:rPr>
          <w:rFonts w:ascii="Times New Roman" w:eastAsia="Times New Roman" w:hAnsi="Times New Roman" w:cs="Times New Roman"/>
        </w:rPr>
      </w:pPr>
      <w:hyperlink r:id="rId7">
        <w:r w:rsidR="00C9397A">
          <w:rPr>
            <w:rFonts w:ascii="Times New Roman" w:eastAsia="Times New Roman" w:hAnsi="Times New Roman" w:cs="Times New Roman"/>
            <w:color w:val="1155CC"/>
            <w:u w:val="single"/>
          </w:rPr>
          <w:t>Treasury’s Interim Final Rule</w:t>
        </w:r>
      </w:hyperlink>
    </w:p>
    <w:p w14:paraId="50B67B27" w14:textId="77777777" w:rsidR="00C9397A" w:rsidRDefault="00A35403" w:rsidP="00C9397A">
      <w:pPr>
        <w:numPr>
          <w:ilvl w:val="0"/>
          <w:numId w:val="3"/>
        </w:numPr>
        <w:rPr>
          <w:rFonts w:ascii="Times New Roman" w:eastAsia="Times New Roman" w:hAnsi="Times New Roman" w:cs="Times New Roman"/>
        </w:rPr>
      </w:pPr>
      <w:hyperlink r:id="rId8">
        <w:r w:rsidR="00C9397A">
          <w:rPr>
            <w:rFonts w:ascii="Times New Roman" w:eastAsia="Times New Roman" w:hAnsi="Times New Roman" w:cs="Times New Roman"/>
            <w:color w:val="1155CC"/>
            <w:u w:val="single"/>
          </w:rPr>
          <w:t>Coronavirus State and Local Fiscal Recovery Funds Fact Sheet</w:t>
        </w:r>
      </w:hyperlink>
    </w:p>
    <w:p w14:paraId="039F55B2" w14:textId="77777777" w:rsidR="00C9397A" w:rsidRDefault="00A35403" w:rsidP="00C9397A">
      <w:pPr>
        <w:numPr>
          <w:ilvl w:val="0"/>
          <w:numId w:val="3"/>
        </w:numPr>
        <w:rPr>
          <w:rFonts w:ascii="Times New Roman" w:eastAsia="Times New Roman" w:hAnsi="Times New Roman" w:cs="Times New Roman"/>
        </w:rPr>
      </w:pPr>
      <w:hyperlink r:id="rId9">
        <w:r w:rsidR="00C9397A">
          <w:rPr>
            <w:rFonts w:ascii="Times New Roman" w:eastAsia="Times New Roman" w:hAnsi="Times New Roman" w:cs="Times New Roman"/>
            <w:color w:val="1155CC"/>
            <w:u w:val="single"/>
          </w:rPr>
          <w:t>Coronavirus State and Local Fiscal Recovery Funds Frequently Asked Questions</w:t>
        </w:r>
      </w:hyperlink>
    </w:p>
    <w:p w14:paraId="733A753D" w14:textId="459A6626" w:rsidR="0022783C" w:rsidRPr="00C9397A" w:rsidRDefault="00A35403" w:rsidP="00C9397A">
      <w:pPr>
        <w:numPr>
          <w:ilvl w:val="0"/>
          <w:numId w:val="3"/>
        </w:numPr>
        <w:rPr>
          <w:rFonts w:ascii="Times New Roman" w:eastAsia="Times New Roman" w:hAnsi="Times New Roman" w:cs="Times New Roman"/>
        </w:rPr>
      </w:pPr>
      <w:hyperlink r:id="rId10">
        <w:r w:rsidR="00C9397A">
          <w:rPr>
            <w:rFonts w:ascii="Times New Roman" w:eastAsia="Times New Roman" w:hAnsi="Times New Roman" w:cs="Times New Roman"/>
            <w:color w:val="1155CC"/>
            <w:u w:val="single"/>
          </w:rPr>
          <w:t>Compliance and Reporting Guidance</w:t>
        </w:r>
      </w:hyperlink>
    </w:p>
    <w:p w14:paraId="25382FD1" w14:textId="77777777" w:rsidR="009701F2" w:rsidRDefault="009701F2">
      <w:pPr>
        <w:rPr>
          <w:rFonts w:ascii="Times New Roman" w:eastAsia="Times New Roman" w:hAnsi="Times New Roman" w:cs="Times New Roman"/>
        </w:rPr>
      </w:pPr>
    </w:p>
    <w:p w14:paraId="778F26B6" w14:textId="77777777" w:rsidR="009701F2" w:rsidRDefault="00245B2E">
      <w:pPr>
        <w:rPr>
          <w:rFonts w:ascii="Times New Roman" w:eastAsia="Times New Roman" w:hAnsi="Times New Roman" w:cs="Times New Roman"/>
          <w:u w:val="single"/>
        </w:rPr>
      </w:pPr>
      <w:r>
        <w:rPr>
          <w:rFonts w:ascii="Times New Roman" w:eastAsia="Times New Roman" w:hAnsi="Times New Roman" w:cs="Times New Roman"/>
          <w:b/>
          <w:u w:val="single"/>
        </w:rPr>
        <w:t>PROJECT OUTCOMES:</w:t>
      </w:r>
    </w:p>
    <w:p w14:paraId="49CD0063" w14:textId="77777777" w:rsidR="009701F2" w:rsidRDefault="00245B2E">
      <w:pPr>
        <w:rPr>
          <w:rFonts w:ascii="Times New Roman" w:eastAsia="Times New Roman" w:hAnsi="Times New Roman" w:cs="Times New Roman"/>
        </w:rPr>
      </w:pPr>
      <w:r>
        <w:rPr>
          <w:rFonts w:ascii="Times New Roman" w:eastAsia="Times New Roman" w:hAnsi="Times New Roman" w:cs="Times New Roman"/>
        </w:rPr>
        <w:t xml:space="preserve">Major projects must establish key performance measures. These measures will be reported annually to the federal government. Agencies should thoughtfully consider measurable project outcomes for each major project and work with their GOPB analyst to establish meaningful measures. </w:t>
      </w:r>
    </w:p>
    <w:p w14:paraId="30526034" w14:textId="77777777" w:rsidR="009701F2" w:rsidRDefault="009701F2">
      <w:pPr>
        <w:rPr>
          <w:rFonts w:ascii="Times New Roman" w:eastAsia="Times New Roman" w:hAnsi="Times New Roman" w:cs="Times New Roman"/>
          <w:b/>
        </w:rPr>
      </w:pPr>
    </w:p>
    <w:p w14:paraId="6341870D" w14:textId="77777777" w:rsidR="009701F2" w:rsidRDefault="00245B2E">
      <w:pPr>
        <w:rPr>
          <w:rFonts w:ascii="Times New Roman" w:eastAsia="Times New Roman" w:hAnsi="Times New Roman" w:cs="Times New Roman"/>
        </w:rPr>
      </w:pPr>
      <w:r>
        <w:rPr>
          <w:rFonts w:ascii="Times New Roman" w:eastAsia="Times New Roman" w:hAnsi="Times New Roman" w:cs="Times New Roman"/>
          <w:b/>
          <w:u w:val="single"/>
        </w:rPr>
        <w:t>APPROPRIATION INFORMATION AND ELIGIBILITY JUSTIFICATION:</w:t>
      </w:r>
    </w:p>
    <w:p w14:paraId="63E6E798" w14:textId="77777777" w:rsidR="009701F2" w:rsidRDefault="009701F2">
      <w:pPr>
        <w:rPr>
          <w:rFonts w:ascii="Times New Roman" w:eastAsia="Times New Roman" w:hAnsi="Times New Roman" w:cs="Times New Roman"/>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480"/>
      </w:tblGrid>
      <w:tr w:rsidR="00D808A6" w14:paraId="120E8417" w14:textId="77777777">
        <w:tc>
          <w:tcPr>
            <w:tcW w:w="2880" w:type="dxa"/>
            <w:shd w:val="clear" w:color="auto" w:fill="auto"/>
            <w:tcMar>
              <w:top w:w="100" w:type="dxa"/>
              <w:left w:w="100" w:type="dxa"/>
              <w:bottom w:w="100" w:type="dxa"/>
              <w:right w:w="100" w:type="dxa"/>
            </w:tcMar>
          </w:tcPr>
          <w:p w14:paraId="27D5B428" w14:textId="0A2A94D1" w:rsidR="00D808A6" w:rsidRDefault="00D808A6" w:rsidP="00D808A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Agency:</w:t>
            </w:r>
          </w:p>
        </w:tc>
        <w:tc>
          <w:tcPr>
            <w:tcW w:w="6480" w:type="dxa"/>
            <w:shd w:val="clear" w:color="auto" w:fill="auto"/>
            <w:tcMar>
              <w:top w:w="100" w:type="dxa"/>
              <w:left w:w="100" w:type="dxa"/>
              <w:bottom w:w="100" w:type="dxa"/>
              <w:right w:w="100" w:type="dxa"/>
            </w:tcMar>
          </w:tcPr>
          <w:p w14:paraId="4C6D2418" w14:textId="77777777" w:rsidR="00D808A6" w:rsidRDefault="00D808A6" w:rsidP="00D808A6">
            <w:pPr>
              <w:widowControl w:val="0"/>
              <w:spacing w:line="240" w:lineRule="auto"/>
              <w:rPr>
                <w:rFonts w:ascii="Times New Roman" w:eastAsia="Times New Roman" w:hAnsi="Times New Roman" w:cs="Times New Roman"/>
              </w:rPr>
            </w:pPr>
          </w:p>
        </w:tc>
      </w:tr>
      <w:tr w:rsidR="00D808A6" w14:paraId="4F92FCCE" w14:textId="77777777">
        <w:tc>
          <w:tcPr>
            <w:tcW w:w="2880" w:type="dxa"/>
            <w:shd w:val="clear" w:color="auto" w:fill="auto"/>
            <w:tcMar>
              <w:top w:w="100" w:type="dxa"/>
              <w:left w:w="100" w:type="dxa"/>
              <w:bottom w:w="100" w:type="dxa"/>
              <w:right w:w="100" w:type="dxa"/>
            </w:tcMar>
          </w:tcPr>
          <w:p w14:paraId="2C4FA54F" w14:textId="77777777" w:rsidR="00D808A6" w:rsidRDefault="00D808A6" w:rsidP="00D808A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Project Name:</w:t>
            </w:r>
          </w:p>
        </w:tc>
        <w:tc>
          <w:tcPr>
            <w:tcW w:w="6480" w:type="dxa"/>
            <w:shd w:val="clear" w:color="auto" w:fill="auto"/>
            <w:tcMar>
              <w:top w:w="100" w:type="dxa"/>
              <w:left w:w="100" w:type="dxa"/>
              <w:bottom w:w="100" w:type="dxa"/>
              <w:right w:w="100" w:type="dxa"/>
            </w:tcMar>
          </w:tcPr>
          <w:p w14:paraId="0685A18B" w14:textId="77777777" w:rsidR="00D808A6" w:rsidRDefault="00D808A6" w:rsidP="00D808A6">
            <w:pPr>
              <w:widowControl w:val="0"/>
              <w:spacing w:line="240" w:lineRule="auto"/>
              <w:rPr>
                <w:rFonts w:ascii="Times New Roman" w:eastAsia="Times New Roman" w:hAnsi="Times New Roman" w:cs="Times New Roman"/>
              </w:rPr>
            </w:pPr>
          </w:p>
        </w:tc>
      </w:tr>
      <w:tr w:rsidR="00D808A6" w14:paraId="1DABB65D" w14:textId="77777777">
        <w:tc>
          <w:tcPr>
            <w:tcW w:w="2880" w:type="dxa"/>
            <w:shd w:val="clear" w:color="auto" w:fill="auto"/>
            <w:tcMar>
              <w:top w:w="100" w:type="dxa"/>
              <w:left w:w="100" w:type="dxa"/>
              <w:bottom w:w="100" w:type="dxa"/>
              <w:right w:w="100" w:type="dxa"/>
            </w:tcMar>
          </w:tcPr>
          <w:p w14:paraId="54F94439" w14:textId="77777777" w:rsidR="00D808A6" w:rsidRDefault="00D808A6" w:rsidP="00D808A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Project Amount:</w:t>
            </w:r>
          </w:p>
        </w:tc>
        <w:tc>
          <w:tcPr>
            <w:tcW w:w="6480" w:type="dxa"/>
            <w:shd w:val="clear" w:color="auto" w:fill="auto"/>
            <w:tcMar>
              <w:top w:w="100" w:type="dxa"/>
              <w:left w:w="100" w:type="dxa"/>
              <w:bottom w:w="100" w:type="dxa"/>
              <w:right w:w="100" w:type="dxa"/>
            </w:tcMar>
          </w:tcPr>
          <w:p w14:paraId="79BB334B" w14:textId="77777777" w:rsidR="00D808A6" w:rsidRDefault="00D808A6" w:rsidP="00D808A6">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w:t>
            </w:r>
          </w:p>
        </w:tc>
      </w:tr>
    </w:tbl>
    <w:p w14:paraId="67E5C6DD" w14:textId="77777777" w:rsidR="009701F2" w:rsidRDefault="009701F2">
      <w:pPr>
        <w:rPr>
          <w:rFonts w:ascii="Times New Roman" w:eastAsia="Times New Roman" w:hAnsi="Times New Roman" w:cs="Times New Roman"/>
        </w:rPr>
      </w:pPr>
    </w:p>
    <w:p w14:paraId="750AEAD7" w14:textId="04F600F2" w:rsidR="009701F2" w:rsidRDefault="00245B2E">
      <w:pPr>
        <w:numPr>
          <w:ilvl w:val="0"/>
          <w:numId w:val="4"/>
        </w:numPr>
        <w:ind w:left="360"/>
        <w:rPr>
          <w:rFonts w:ascii="Times New Roman" w:eastAsia="Times New Roman" w:hAnsi="Times New Roman" w:cs="Times New Roman"/>
        </w:rPr>
      </w:pPr>
      <w:r>
        <w:rPr>
          <w:rFonts w:ascii="Times New Roman" w:eastAsia="Times New Roman" w:hAnsi="Times New Roman" w:cs="Times New Roman"/>
        </w:rPr>
        <w:t xml:space="preserve">Please provide a detailed description </w:t>
      </w:r>
      <w:r w:rsidR="00D808A6">
        <w:rPr>
          <w:rFonts w:ascii="Times New Roman" w:eastAsia="Times New Roman" w:hAnsi="Times New Roman" w:cs="Times New Roman"/>
        </w:rPr>
        <w:t xml:space="preserve">and timeline </w:t>
      </w:r>
      <w:r>
        <w:rPr>
          <w:rFonts w:ascii="Times New Roman" w:eastAsia="Times New Roman" w:hAnsi="Times New Roman" w:cs="Times New Roman"/>
        </w:rPr>
        <w:t xml:space="preserve">of the project that this appropriation </w:t>
      </w:r>
      <w:r w:rsidR="00D808A6">
        <w:rPr>
          <w:rFonts w:ascii="Times New Roman" w:eastAsia="Times New Roman" w:hAnsi="Times New Roman" w:cs="Times New Roman"/>
        </w:rPr>
        <w:t>will fund.</w:t>
      </w:r>
      <w:r w:rsidR="00C9397A">
        <w:rPr>
          <w:rFonts w:ascii="Times New Roman" w:eastAsia="Times New Roman" w:hAnsi="Times New Roman" w:cs="Times New Roman"/>
        </w:rPr>
        <w:t xml:space="preserve"> How does this project support the state’s vision and guiding principles for using ARPA </w:t>
      </w:r>
      <w:proofErr w:type="gramStart"/>
      <w:r w:rsidR="00C9397A">
        <w:rPr>
          <w:rFonts w:ascii="Times New Roman" w:eastAsia="Times New Roman" w:hAnsi="Times New Roman" w:cs="Times New Roman"/>
        </w:rPr>
        <w:t>funding.</w:t>
      </w:r>
      <w:proofErr w:type="gramEnd"/>
    </w:p>
    <w:p w14:paraId="3EE04326" w14:textId="77777777" w:rsidR="009701F2" w:rsidRDefault="009701F2">
      <w:pPr>
        <w:ind w:left="360"/>
        <w:rPr>
          <w:rFonts w:ascii="Times New Roman" w:eastAsia="Times New Roman" w:hAnsi="Times New Roman" w:cs="Times New Roman"/>
        </w:rPr>
      </w:pPr>
    </w:p>
    <w:p w14:paraId="3C7CEB30" w14:textId="4F4DAA6D" w:rsidR="009701F2" w:rsidRDefault="009701F2">
      <w:pPr>
        <w:ind w:left="360"/>
        <w:rPr>
          <w:rFonts w:ascii="Times New Roman" w:eastAsia="Times New Roman" w:hAnsi="Times New Roman" w:cs="Times New Roman"/>
        </w:rPr>
      </w:pPr>
    </w:p>
    <w:p w14:paraId="719003A4" w14:textId="77777777" w:rsidR="00C9397A" w:rsidRDefault="00C9397A">
      <w:pPr>
        <w:ind w:left="360"/>
        <w:rPr>
          <w:rFonts w:ascii="Times New Roman" w:eastAsia="Times New Roman" w:hAnsi="Times New Roman" w:cs="Times New Roman"/>
        </w:rPr>
      </w:pPr>
    </w:p>
    <w:p w14:paraId="1F5756DF" w14:textId="77777777" w:rsidR="009701F2" w:rsidRDefault="009701F2">
      <w:pPr>
        <w:ind w:left="360"/>
        <w:rPr>
          <w:rFonts w:ascii="Times New Roman" w:eastAsia="Times New Roman" w:hAnsi="Times New Roman" w:cs="Times New Roman"/>
        </w:rPr>
      </w:pPr>
    </w:p>
    <w:p w14:paraId="0D335195" w14:textId="77777777" w:rsidR="009701F2" w:rsidRDefault="009701F2">
      <w:pPr>
        <w:ind w:left="720"/>
        <w:rPr>
          <w:rFonts w:ascii="Times New Roman" w:eastAsia="Times New Roman" w:hAnsi="Times New Roman" w:cs="Times New Roman"/>
        </w:rPr>
      </w:pPr>
    </w:p>
    <w:p w14:paraId="04CD89E3" w14:textId="77777777" w:rsidR="009701F2" w:rsidRDefault="00245B2E">
      <w:pPr>
        <w:numPr>
          <w:ilvl w:val="0"/>
          <w:numId w:val="4"/>
        </w:numPr>
        <w:ind w:left="360"/>
        <w:rPr>
          <w:rFonts w:ascii="Times New Roman" w:eastAsia="Times New Roman" w:hAnsi="Times New Roman" w:cs="Times New Roman"/>
        </w:rPr>
      </w:pPr>
      <w:r>
        <w:rPr>
          <w:rFonts w:ascii="Times New Roman" w:eastAsia="Times New Roman" w:hAnsi="Times New Roman" w:cs="Times New Roman"/>
        </w:rPr>
        <w:t xml:space="preserve">What are the anticipated results or outcomes of this project?  What are </w:t>
      </w:r>
      <w:r w:rsidR="00457B4D">
        <w:rPr>
          <w:rFonts w:ascii="Times New Roman" w:eastAsia="Times New Roman" w:hAnsi="Times New Roman" w:cs="Times New Roman"/>
        </w:rPr>
        <w:t>the</w:t>
      </w:r>
      <w:r w:rsidR="00220AB7">
        <w:rPr>
          <w:rFonts w:ascii="Times New Roman" w:eastAsia="Times New Roman" w:hAnsi="Times New Roman" w:cs="Times New Roman"/>
        </w:rPr>
        <w:t xml:space="preserve"> </w:t>
      </w:r>
      <w:r>
        <w:rPr>
          <w:rFonts w:ascii="Times New Roman" w:eastAsia="Times New Roman" w:hAnsi="Times New Roman" w:cs="Times New Roman"/>
        </w:rPr>
        <w:t xml:space="preserve">output and outcome measures that </w:t>
      </w:r>
      <w:r w:rsidR="00457B4D">
        <w:rPr>
          <w:rFonts w:ascii="Times New Roman" w:eastAsia="Times New Roman" w:hAnsi="Times New Roman" w:cs="Times New Roman"/>
        </w:rPr>
        <w:t>will</w:t>
      </w:r>
      <w:r w:rsidR="00220AB7">
        <w:rPr>
          <w:rFonts w:ascii="Times New Roman" w:eastAsia="Times New Roman" w:hAnsi="Times New Roman" w:cs="Times New Roman"/>
        </w:rPr>
        <w:t xml:space="preserve"> </w:t>
      </w:r>
      <w:r>
        <w:rPr>
          <w:rFonts w:ascii="Times New Roman" w:eastAsia="Times New Roman" w:hAnsi="Times New Roman" w:cs="Times New Roman"/>
        </w:rPr>
        <w:t>be used to measure the success of this project?</w:t>
      </w:r>
    </w:p>
    <w:p w14:paraId="5C2F8B40" w14:textId="77777777" w:rsidR="009701F2" w:rsidRDefault="009701F2">
      <w:pPr>
        <w:ind w:left="360"/>
        <w:rPr>
          <w:rFonts w:ascii="Times New Roman" w:eastAsia="Times New Roman" w:hAnsi="Times New Roman" w:cs="Times New Roman"/>
        </w:rPr>
      </w:pPr>
    </w:p>
    <w:p w14:paraId="36306732" w14:textId="3CE8A7EF" w:rsidR="009701F2" w:rsidRDefault="009701F2">
      <w:pPr>
        <w:ind w:left="360"/>
        <w:rPr>
          <w:rFonts w:ascii="Times New Roman" w:eastAsia="Times New Roman" w:hAnsi="Times New Roman" w:cs="Times New Roman"/>
        </w:rPr>
      </w:pPr>
    </w:p>
    <w:p w14:paraId="447F5151" w14:textId="77777777" w:rsidR="00C9397A" w:rsidRDefault="00C9397A">
      <w:pPr>
        <w:ind w:left="360"/>
        <w:rPr>
          <w:rFonts w:ascii="Times New Roman" w:eastAsia="Times New Roman" w:hAnsi="Times New Roman" w:cs="Times New Roman"/>
        </w:rPr>
      </w:pPr>
    </w:p>
    <w:p w14:paraId="79F3B30A" w14:textId="77777777" w:rsidR="009701F2" w:rsidRDefault="009701F2">
      <w:pPr>
        <w:ind w:left="360"/>
        <w:rPr>
          <w:rFonts w:ascii="Times New Roman" w:eastAsia="Times New Roman" w:hAnsi="Times New Roman" w:cs="Times New Roman"/>
        </w:rPr>
      </w:pPr>
    </w:p>
    <w:p w14:paraId="15288A96" w14:textId="77777777" w:rsidR="009701F2" w:rsidRDefault="009701F2">
      <w:pPr>
        <w:ind w:left="360"/>
        <w:rPr>
          <w:rFonts w:ascii="Times New Roman" w:eastAsia="Times New Roman" w:hAnsi="Times New Roman" w:cs="Times New Roman"/>
        </w:rPr>
      </w:pPr>
    </w:p>
    <w:p w14:paraId="4F594B06" w14:textId="77777777" w:rsidR="009701F2" w:rsidRDefault="00245B2E">
      <w:pPr>
        <w:numPr>
          <w:ilvl w:val="0"/>
          <w:numId w:val="4"/>
        </w:numPr>
        <w:ind w:left="360"/>
        <w:rPr>
          <w:rFonts w:ascii="Times New Roman" w:eastAsia="Times New Roman" w:hAnsi="Times New Roman" w:cs="Times New Roman"/>
        </w:rPr>
      </w:pPr>
      <w:r>
        <w:rPr>
          <w:rFonts w:ascii="Times New Roman" w:eastAsia="Times New Roman" w:hAnsi="Times New Roman" w:cs="Times New Roman"/>
        </w:rPr>
        <w:t xml:space="preserve">How does this project fit under the allowable uses of these federal funds as described in the Treasury’s </w:t>
      </w:r>
      <w:hyperlink r:id="rId11">
        <w:r>
          <w:rPr>
            <w:rFonts w:ascii="Times New Roman" w:eastAsia="Times New Roman" w:hAnsi="Times New Roman" w:cs="Times New Roman"/>
            <w:color w:val="1155CC"/>
            <w:u w:val="single"/>
          </w:rPr>
          <w:t>Interim Final Rule</w:t>
        </w:r>
      </w:hyperlink>
      <w:r>
        <w:rPr>
          <w:rFonts w:ascii="Times New Roman" w:eastAsia="Times New Roman" w:hAnsi="Times New Roman" w:cs="Times New Roman"/>
        </w:rPr>
        <w:t xml:space="preserve">? </w:t>
      </w:r>
      <w:r w:rsidR="00757C1D" w:rsidRPr="00757C1D">
        <w:rPr>
          <w:rFonts w:ascii="Times New Roman" w:eastAsia="Times New Roman" w:hAnsi="Times New Roman" w:cs="Times New Roman"/>
        </w:rPr>
        <w:t>Please be specific when explaining your reasoning, including direct text citations and other references from Treasury guidelines that support the justification that this project is eligible.</w:t>
      </w:r>
      <w:r w:rsidR="00757C1D">
        <w:rPr>
          <w:rFonts w:ascii="Times New Roman" w:eastAsia="Times New Roman" w:hAnsi="Times New Roman" w:cs="Times New Roman"/>
          <w:i/>
        </w:rPr>
        <w:t xml:space="preserve"> </w:t>
      </w:r>
      <w:r>
        <w:rPr>
          <w:rFonts w:ascii="Times New Roman" w:eastAsia="Times New Roman" w:hAnsi="Times New Roman" w:cs="Times New Roman"/>
          <w:i/>
        </w:rPr>
        <w:t xml:space="preserve">Note: Since the state’s ability to replace lost public sector revenue will be limited, the project should be tied to other specific eligibility criteria whenever possible. </w:t>
      </w:r>
    </w:p>
    <w:sectPr w:rsidR="009701F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3B69"/>
    <w:multiLevelType w:val="multilevel"/>
    <w:tmpl w:val="DFA414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3A7EA1"/>
    <w:multiLevelType w:val="multilevel"/>
    <w:tmpl w:val="6E646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C06A17"/>
    <w:multiLevelType w:val="multilevel"/>
    <w:tmpl w:val="79AAF8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FC265E2"/>
    <w:multiLevelType w:val="multilevel"/>
    <w:tmpl w:val="981CD1B2"/>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5F778B"/>
    <w:multiLevelType w:val="hybridMultilevel"/>
    <w:tmpl w:val="B5F4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EC4C62"/>
    <w:multiLevelType w:val="multilevel"/>
    <w:tmpl w:val="12CED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E76E6E"/>
    <w:multiLevelType w:val="hybridMultilevel"/>
    <w:tmpl w:val="7C74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F2"/>
    <w:rsid w:val="00002445"/>
    <w:rsid w:val="00172D74"/>
    <w:rsid w:val="00220AB7"/>
    <w:rsid w:val="00223CF0"/>
    <w:rsid w:val="0022783C"/>
    <w:rsid w:val="00245B2E"/>
    <w:rsid w:val="004139E7"/>
    <w:rsid w:val="00457B4D"/>
    <w:rsid w:val="004F7F81"/>
    <w:rsid w:val="00704CF3"/>
    <w:rsid w:val="00757C1D"/>
    <w:rsid w:val="009701F2"/>
    <w:rsid w:val="00A35403"/>
    <w:rsid w:val="00B87AA1"/>
    <w:rsid w:val="00C9397A"/>
    <w:rsid w:val="00CB5633"/>
    <w:rsid w:val="00D808A6"/>
    <w:rsid w:val="00E03662"/>
    <w:rsid w:val="00EF2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D9D0"/>
  <w15:docId w15:val="{769DF664-6CD2-462E-8BAD-2F0C3C6A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57C1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C1D"/>
    <w:rPr>
      <w:rFonts w:ascii="Segoe UI" w:hAnsi="Segoe UI" w:cs="Segoe UI"/>
      <w:sz w:val="18"/>
      <w:szCs w:val="18"/>
    </w:rPr>
  </w:style>
  <w:style w:type="paragraph" w:styleId="ListParagraph">
    <w:name w:val="List Paragraph"/>
    <w:basedOn w:val="Normal"/>
    <w:uiPriority w:val="34"/>
    <w:qFormat/>
    <w:rsid w:val="00CB5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home.treasury.gov/system/files/136/SLFRP-Fact-Sheet-FINAL1-508A.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info.gov/content/pkg/FR-2021-05-17/pdf/2021-1028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me.treasury.gov/policy-issues/coronavirus/assistance-for-state-local-and-tribal-governments/state-and-local-fiscal-recovery-funds" TargetMode="External"/><Relationship Id="rId11" Type="http://schemas.openxmlformats.org/officeDocument/2006/relationships/hyperlink" Target="https://www.govinfo.gov/content/pkg/FR-2021-05-17/pdf/2021-10283.pdf" TargetMode="External"/><Relationship Id="rId5" Type="http://schemas.openxmlformats.org/officeDocument/2006/relationships/image" Target="media/image1.png"/><Relationship Id="rId10" Type="http://schemas.openxmlformats.org/officeDocument/2006/relationships/hyperlink" Target="https://home.treasury.gov/system/files/136/SLFRF-Compliance-and-Reporting-Guidance.pdf" TargetMode="External"/><Relationship Id="rId4" Type="http://schemas.openxmlformats.org/officeDocument/2006/relationships/webSettings" Target="webSettings.xml"/><Relationship Id="rId9" Type="http://schemas.openxmlformats.org/officeDocument/2006/relationships/hyperlink" Target="https://home.treasury.gov/system/files/136/SLFRP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Talley</dc:creator>
  <cp:lastModifiedBy>Nate Talley</cp:lastModifiedBy>
  <cp:revision>8</cp:revision>
  <cp:lastPrinted>2021-07-30T20:45:00Z</cp:lastPrinted>
  <dcterms:created xsi:type="dcterms:W3CDTF">2021-07-29T21:27:00Z</dcterms:created>
  <dcterms:modified xsi:type="dcterms:W3CDTF">2021-07-30T21:29:00Z</dcterms:modified>
</cp:coreProperties>
</file>